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56"/>
        <w:gridCol w:w="6460"/>
      </w:tblGrid>
      <w:tr w:rsidR="009B7933" w:rsidRPr="00CF4281" w14:paraId="60B1609E"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142CA45" w14:textId="77777777" w:rsidR="009B7933" w:rsidRPr="00CF4281" w:rsidRDefault="009B7933" w:rsidP="00E50967">
            <w:pPr>
              <w:rPr>
                <w:rFonts w:asciiTheme="minorHAnsi" w:hAnsiTheme="minorHAnsi" w:cstheme="minorHAnsi"/>
              </w:rPr>
            </w:pPr>
            <w:r w:rsidRPr="00CF4281">
              <w:rPr>
                <w:rFonts w:asciiTheme="minorHAnsi" w:hAnsiTheme="minorHAnsi" w:cstheme="minorHAnsi"/>
              </w:rPr>
              <w:t>Study title:</w:t>
            </w:r>
          </w:p>
        </w:tc>
        <w:tc>
          <w:tcPr>
            <w:tcW w:w="6460" w:type="dxa"/>
            <w:tcBorders>
              <w:top w:val="single" w:sz="4" w:space="0" w:color="auto"/>
              <w:left w:val="single" w:sz="4" w:space="0" w:color="auto"/>
              <w:bottom w:val="single" w:sz="4" w:space="0" w:color="auto"/>
              <w:right w:val="single" w:sz="4" w:space="0" w:color="auto"/>
            </w:tcBorders>
          </w:tcPr>
          <w:p w14:paraId="7A566D70" w14:textId="23D2E643" w:rsidR="009B7933" w:rsidRPr="00CF4281" w:rsidRDefault="00574454" w:rsidP="00E50967">
            <w:pPr>
              <w:rPr>
                <w:rFonts w:asciiTheme="minorHAnsi" w:hAnsiTheme="minorHAnsi" w:cstheme="minorHAnsi"/>
              </w:rPr>
            </w:pPr>
            <w:r w:rsidRPr="00522F8A">
              <w:rPr>
                <w:rFonts w:asciiTheme="minorHAnsi" w:hAnsiTheme="minorHAnsi" w:cstheme="minorHAnsi"/>
                <w:b/>
                <w:bCs/>
              </w:rPr>
              <w:t xml:space="preserve">3i-O </w:t>
            </w:r>
            <w:r w:rsidRPr="00522F8A">
              <w:rPr>
                <w:rFonts w:asciiTheme="minorHAnsi" w:hAnsiTheme="minorHAnsi" w:cstheme="minorHAnsi"/>
              </w:rPr>
              <w:t>(Impact of an Intervention on Inequalities in Overprescribing study [Work Package 1-</w:t>
            </w:r>
            <w:r w:rsidRPr="00CF4281">
              <w:rPr>
                <w:rFonts w:asciiTheme="minorHAnsi" w:hAnsiTheme="minorHAnsi" w:cstheme="minorHAnsi"/>
              </w:rPr>
              <w:t>4</w:t>
            </w:r>
            <w:r w:rsidRPr="00522F8A">
              <w:rPr>
                <w:rFonts w:asciiTheme="minorHAnsi" w:hAnsiTheme="minorHAnsi" w:cstheme="minorHAnsi"/>
              </w:rPr>
              <w:t>])</w:t>
            </w:r>
          </w:p>
        </w:tc>
      </w:tr>
      <w:tr w:rsidR="009B7933" w:rsidRPr="00CF4281" w14:paraId="4B54A4C5"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D4673E" w14:textId="77777777" w:rsidR="009B7933" w:rsidRPr="00CF4281" w:rsidRDefault="009B7933" w:rsidP="00E50967">
            <w:pPr>
              <w:rPr>
                <w:rFonts w:asciiTheme="minorHAnsi" w:hAnsiTheme="minorHAnsi" w:cstheme="minorHAnsi"/>
              </w:rPr>
            </w:pPr>
            <w:r w:rsidRPr="00CF4281">
              <w:rPr>
                <w:rFonts w:asciiTheme="minorHAnsi" w:hAnsiTheme="minorHAnsi" w:cstheme="minorHAnsi"/>
              </w:rPr>
              <w:t>IRAS no.:</w:t>
            </w:r>
          </w:p>
        </w:tc>
        <w:tc>
          <w:tcPr>
            <w:tcW w:w="6460" w:type="dxa"/>
            <w:tcBorders>
              <w:top w:val="single" w:sz="4" w:space="0" w:color="auto"/>
              <w:left w:val="single" w:sz="4" w:space="0" w:color="auto"/>
              <w:bottom w:val="single" w:sz="4" w:space="0" w:color="auto"/>
              <w:right w:val="single" w:sz="4" w:space="0" w:color="auto"/>
            </w:tcBorders>
          </w:tcPr>
          <w:p w14:paraId="628960D5" w14:textId="14EFE586" w:rsidR="009B7933" w:rsidRPr="00CF4281" w:rsidRDefault="00574454" w:rsidP="00E50967">
            <w:pPr>
              <w:rPr>
                <w:rFonts w:asciiTheme="minorHAnsi" w:hAnsiTheme="minorHAnsi" w:cstheme="minorHAnsi"/>
              </w:rPr>
            </w:pPr>
            <w:r w:rsidRPr="00522F8A">
              <w:rPr>
                <w:rFonts w:asciiTheme="minorHAnsi" w:hAnsiTheme="minorHAnsi" w:cstheme="minorHAnsi"/>
              </w:rPr>
              <w:t>344331</w:t>
            </w:r>
          </w:p>
        </w:tc>
      </w:tr>
      <w:tr w:rsidR="00574454" w:rsidRPr="00CF4281" w14:paraId="0A23AD35"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941E7CC" w14:textId="77777777" w:rsidR="00574454" w:rsidRPr="00CF4281" w:rsidRDefault="00574454" w:rsidP="00574454">
            <w:pPr>
              <w:rPr>
                <w:rFonts w:asciiTheme="minorHAnsi" w:hAnsiTheme="minorHAnsi" w:cstheme="minorHAnsi"/>
              </w:rPr>
            </w:pPr>
            <w:r w:rsidRPr="00CF4281">
              <w:rPr>
                <w:rFonts w:asciiTheme="minorHAnsi" w:hAnsiTheme="minorHAnsi" w:cstheme="minorHAnsi"/>
              </w:rPr>
              <w:t>Study summary:</w:t>
            </w:r>
          </w:p>
        </w:tc>
        <w:tc>
          <w:tcPr>
            <w:tcW w:w="6460" w:type="dxa"/>
            <w:tcBorders>
              <w:top w:val="single" w:sz="4" w:space="0" w:color="auto"/>
              <w:left w:val="single" w:sz="4" w:space="0" w:color="auto"/>
              <w:bottom w:val="single" w:sz="4" w:space="0" w:color="auto"/>
              <w:right w:val="single" w:sz="4" w:space="0" w:color="auto"/>
            </w:tcBorders>
          </w:tcPr>
          <w:p w14:paraId="1F2A098B" w14:textId="77777777" w:rsidR="00574454" w:rsidRPr="00522F8A" w:rsidRDefault="00574454" w:rsidP="00574454">
            <w:pPr>
              <w:spacing w:line="259" w:lineRule="auto"/>
              <w:rPr>
                <w:rFonts w:asciiTheme="minorHAnsi" w:hAnsiTheme="minorHAnsi" w:cstheme="minorHAnsi"/>
              </w:rPr>
            </w:pPr>
            <w:r w:rsidRPr="00522F8A">
              <w:rPr>
                <w:rFonts w:asciiTheme="minorHAnsi" w:hAnsiTheme="minorHAnsi" w:cstheme="minorHAnsi"/>
              </w:rPr>
              <w:t>Overprescribing is receiving medicines that the patient may not want, may not need or may cause them more harm than benefit. Overprescribing increases the medication burden for patients and risks of adverse effects, hospital admissions and deaths. It wastes medications and increases costs to the NHS and wider society. Reducing overprescribing is part of the NHS Long Term Plan.</w:t>
            </w:r>
          </w:p>
          <w:p w14:paraId="2ABCD2AB" w14:textId="0653DF9E" w:rsidR="00574454" w:rsidRPr="00522F8A" w:rsidRDefault="00574454" w:rsidP="00574454">
            <w:pPr>
              <w:spacing w:line="259" w:lineRule="auto"/>
              <w:rPr>
                <w:rFonts w:asciiTheme="minorHAnsi" w:hAnsiTheme="minorHAnsi" w:cstheme="minorHAnsi"/>
              </w:rPr>
            </w:pPr>
          </w:p>
          <w:p w14:paraId="28EABFCE" w14:textId="77777777" w:rsidR="00574454" w:rsidRPr="00522F8A" w:rsidRDefault="00574454" w:rsidP="00574454">
            <w:pPr>
              <w:spacing w:line="259" w:lineRule="auto"/>
              <w:rPr>
                <w:rFonts w:asciiTheme="minorHAnsi" w:hAnsiTheme="minorHAnsi" w:cstheme="minorHAnsi"/>
              </w:rPr>
            </w:pPr>
            <w:r w:rsidRPr="00522F8A">
              <w:rPr>
                <w:rFonts w:asciiTheme="minorHAnsi" w:hAnsiTheme="minorHAnsi" w:cstheme="minorHAnsi"/>
              </w:rPr>
              <w:t>Overprescribing is strongly linked to health inequalities. It especially affects vulnerable people, those from deprived areas and Black and minority ethnic communities. Most NHS prescribing (and therefore overprescribing) happens in general practice. We have previously run feedback campaigns to reduce overprescribing of addictive painkillers or reduce unnecessary antibiotic prescribing in general practice.</w:t>
            </w:r>
          </w:p>
          <w:p w14:paraId="50CCFD37" w14:textId="2666F5C9" w:rsidR="00574454" w:rsidRPr="00522F8A" w:rsidRDefault="00574454" w:rsidP="00574454">
            <w:pPr>
              <w:spacing w:line="259" w:lineRule="auto"/>
              <w:rPr>
                <w:rFonts w:asciiTheme="minorHAnsi" w:hAnsiTheme="minorHAnsi" w:cstheme="minorHAnsi"/>
              </w:rPr>
            </w:pPr>
          </w:p>
          <w:p w14:paraId="2946547B" w14:textId="631B1217" w:rsidR="00574454" w:rsidRPr="00CF4281" w:rsidRDefault="00574454" w:rsidP="00574454">
            <w:pPr>
              <w:rPr>
                <w:rFonts w:asciiTheme="minorHAnsi" w:hAnsiTheme="minorHAnsi" w:cstheme="minorHAnsi"/>
              </w:rPr>
            </w:pPr>
            <w:r w:rsidRPr="00522F8A">
              <w:rPr>
                <w:rFonts w:asciiTheme="minorHAnsi" w:hAnsiTheme="minorHAnsi" w:cstheme="minorHAnsi"/>
              </w:rPr>
              <w:t>Our previous research has shown that providing performance feedback often works in reducing overprescribing. However, we do not know if it works effectively for all patients or whether it exacerbates or reduces health inequalities. We want to find out if providing feedback interventions or similar interventions to reduce overprescription of addictive painkillers and antibiotics work without making it more difficult for some people to get the health care they need, or whether or they make health inequalities worse or better.</w:t>
            </w:r>
          </w:p>
        </w:tc>
      </w:tr>
      <w:tr w:rsidR="00574454" w:rsidRPr="00CF4281" w14:paraId="787FF575"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B8786A" w14:textId="77777777" w:rsidR="00574454" w:rsidRPr="00CF4281" w:rsidRDefault="00574454" w:rsidP="00574454">
            <w:pPr>
              <w:rPr>
                <w:rFonts w:asciiTheme="minorHAnsi" w:hAnsiTheme="minorHAnsi" w:cstheme="minorHAnsi"/>
              </w:rPr>
            </w:pPr>
            <w:r w:rsidRPr="00CF4281">
              <w:rPr>
                <w:rFonts w:asciiTheme="minorHAnsi" w:hAnsiTheme="minorHAnsi" w:cstheme="minorHAnsi"/>
              </w:rPr>
              <w:t>NIHR portfolio study?  Will there be accruals for the practice?</w:t>
            </w:r>
          </w:p>
        </w:tc>
        <w:tc>
          <w:tcPr>
            <w:tcW w:w="6460" w:type="dxa"/>
            <w:tcBorders>
              <w:top w:val="single" w:sz="4" w:space="0" w:color="auto"/>
              <w:left w:val="single" w:sz="4" w:space="0" w:color="auto"/>
              <w:bottom w:val="single" w:sz="4" w:space="0" w:color="auto"/>
              <w:right w:val="single" w:sz="4" w:space="0" w:color="auto"/>
            </w:tcBorders>
            <w:hideMark/>
          </w:tcPr>
          <w:p w14:paraId="60F029C9" w14:textId="44B3FBEA" w:rsidR="00574454" w:rsidRPr="00CF4281" w:rsidRDefault="00574454" w:rsidP="00CF4281">
            <w:pPr>
              <w:spacing w:line="259" w:lineRule="auto"/>
              <w:rPr>
                <w:rFonts w:asciiTheme="minorHAnsi" w:hAnsiTheme="minorHAnsi" w:cstheme="minorHAnsi"/>
              </w:rPr>
            </w:pPr>
            <w:r w:rsidRPr="00522F8A">
              <w:rPr>
                <w:rFonts w:asciiTheme="minorHAnsi" w:hAnsiTheme="minorHAnsi" w:cstheme="minorHAnsi"/>
              </w:rPr>
              <w:t>NIHR Portfolio study.</w:t>
            </w:r>
            <w:r w:rsidR="00CF4281">
              <w:rPr>
                <w:rFonts w:asciiTheme="minorHAnsi" w:hAnsiTheme="minorHAnsi" w:cstheme="minorHAnsi"/>
              </w:rPr>
              <w:t xml:space="preserve">  One accrual per practice participating.  (Individual </w:t>
            </w:r>
            <w:r w:rsidRPr="00522F8A">
              <w:rPr>
                <w:rFonts w:asciiTheme="minorHAnsi" w:hAnsiTheme="minorHAnsi" w:cstheme="minorHAnsi"/>
              </w:rPr>
              <w:t>patient accruals will not be recorded</w:t>
            </w:r>
            <w:r w:rsidR="00CF4281">
              <w:rPr>
                <w:rFonts w:asciiTheme="minorHAnsi" w:hAnsiTheme="minorHAnsi" w:cstheme="minorHAnsi"/>
              </w:rPr>
              <w:t>).</w:t>
            </w:r>
          </w:p>
        </w:tc>
      </w:tr>
      <w:tr w:rsidR="00574454" w:rsidRPr="00CF4281" w14:paraId="513E00A3"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FF889DB" w14:textId="77777777" w:rsidR="00574454" w:rsidRPr="00CF4281" w:rsidRDefault="00574454" w:rsidP="00574454">
            <w:pPr>
              <w:rPr>
                <w:rFonts w:asciiTheme="minorHAnsi" w:hAnsiTheme="minorHAnsi" w:cstheme="minorHAnsi"/>
              </w:rPr>
            </w:pPr>
            <w:r w:rsidRPr="00CF4281">
              <w:rPr>
                <w:rFonts w:asciiTheme="minorHAnsi" w:hAnsiTheme="minorHAnsi" w:cstheme="minorHAnsi"/>
              </w:rPr>
              <w:t>What is required of the practice:</w:t>
            </w:r>
          </w:p>
        </w:tc>
        <w:tc>
          <w:tcPr>
            <w:tcW w:w="6460" w:type="dxa"/>
            <w:tcBorders>
              <w:top w:val="single" w:sz="4" w:space="0" w:color="auto"/>
              <w:left w:val="single" w:sz="4" w:space="0" w:color="auto"/>
              <w:bottom w:val="single" w:sz="4" w:space="0" w:color="auto"/>
              <w:right w:val="single" w:sz="4" w:space="0" w:color="auto"/>
            </w:tcBorders>
            <w:hideMark/>
          </w:tcPr>
          <w:p w14:paraId="1103D9A8" w14:textId="77777777" w:rsidR="00574454" w:rsidRPr="00522F8A" w:rsidRDefault="00574454" w:rsidP="00B14C35">
            <w:pPr>
              <w:numPr>
                <w:ilvl w:val="0"/>
                <w:numId w:val="1"/>
              </w:numPr>
              <w:spacing w:line="259" w:lineRule="auto"/>
              <w:rPr>
                <w:rFonts w:asciiTheme="minorHAnsi" w:hAnsiTheme="minorHAnsi" w:cstheme="minorHAnsi"/>
              </w:rPr>
            </w:pPr>
            <w:r w:rsidRPr="00522F8A">
              <w:rPr>
                <w:rFonts w:asciiTheme="minorHAnsi" w:hAnsiTheme="minorHAnsi" w:cstheme="minorHAnsi"/>
              </w:rPr>
              <w:t>Sign data sharing agreement</w:t>
            </w:r>
          </w:p>
          <w:p w14:paraId="5BC1AC5D" w14:textId="77777777" w:rsidR="00574454" w:rsidRPr="00522F8A" w:rsidRDefault="00574454" w:rsidP="00B14C35">
            <w:pPr>
              <w:numPr>
                <w:ilvl w:val="0"/>
                <w:numId w:val="1"/>
              </w:numPr>
              <w:spacing w:line="259" w:lineRule="auto"/>
              <w:rPr>
                <w:rFonts w:asciiTheme="minorHAnsi" w:hAnsiTheme="minorHAnsi" w:cstheme="minorHAnsi"/>
              </w:rPr>
            </w:pPr>
            <w:r w:rsidRPr="00522F8A">
              <w:rPr>
                <w:rFonts w:asciiTheme="minorHAnsi" w:hAnsiTheme="minorHAnsi" w:cstheme="minorHAnsi"/>
              </w:rPr>
              <w:t>Enable smartcard access for NECS*</w:t>
            </w:r>
          </w:p>
          <w:p w14:paraId="2FFE5DAD" w14:textId="77777777" w:rsidR="00574454" w:rsidRPr="00522F8A" w:rsidRDefault="00574454" w:rsidP="00B14C35">
            <w:pPr>
              <w:numPr>
                <w:ilvl w:val="0"/>
                <w:numId w:val="1"/>
              </w:numPr>
              <w:spacing w:line="259" w:lineRule="auto"/>
              <w:rPr>
                <w:rFonts w:asciiTheme="minorHAnsi" w:hAnsiTheme="minorHAnsi" w:cstheme="minorHAnsi"/>
              </w:rPr>
            </w:pPr>
            <w:r w:rsidRPr="00522F8A">
              <w:rPr>
                <w:rFonts w:asciiTheme="minorHAnsi" w:hAnsiTheme="minorHAnsi" w:cstheme="minorHAnsi"/>
              </w:rPr>
              <w:t>Display a poster about the study</w:t>
            </w:r>
          </w:p>
          <w:p w14:paraId="4C5C9348" w14:textId="77777777" w:rsidR="00574454" w:rsidRPr="00522F8A" w:rsidRDefault="00574454" w:rsidP="00B14C35">
            <w:pPr>
              <w:numPr>
                <w:ilvl w:val="0"/>
                <w:numId w:val="1"/>
              </w:numPr>
              <w:spacing w:line="259" w:lineRule="auto"/>
              <w:rPr>
                <w:rFonts w:asciiTheme="minorHAnsi" w:hAnsiTheme="minorHAnsi" w:cstheme="minorHAnsi"/>
              </w:rPr>
            </w:pPr>
            <w:r w:rsidRPr="00522F8A">
              <w:rPr>
                <w:rFonts w:asciiTheme="minorHAnsi" w:hAnsiTheme="minorHAnsi" w:cstheme="minorHAnsi"/>
              </w:rPr>
              <w:t>Add information about the study to website (if possible)</w:t>
            </w:r>
          </w:p>
          <w:p w14:paraId="168B1E68" w14:textId="77777777" w:rsidR="00574454" w:rsidRPr="00522F8A" w:rsidRDefault="00574454" w:rsidP="00B14C35">
            <w:pPr>
              <w:numPr>
                <w:ilvl w:val="0"/>
                <w:numId w:val="1"/>
              </w:numPr>
              <w:spacing w:line="259" w:lineRule="auto"/>
              <w:rPr>
                <w:rFonts w:asciiTheme="minorHAnsi" w:hAnsiTheme="minorHAnsi" w:cstheme="minorHAnsi"/>
              </w:rPr>
            </w:pPr>
            <w:r w:rsidRPr="00522F8A">
              <w:rPr>
                <w:rFonts w:asciiTheme="minorHAnsi" w:hAnsiTheme="minorHAnsi" w:cstheme="minorHAnsi"/>
              </w:rPr>
              <w:t>Add information about the study to prescription slips for 6 weeks</w:t>
            </w:r>
          </w:p>
          <w:p w14:paraId="416BAAEE" w14:textId="77777777" w:rsidR="00B14C35" w:rsidRDefault="00B14C35" w:rsidP="00B14C35">
            <w:pPr>
              <w:numPr>
                <w:ilvl w:val="0"/>
                <w:numId w:val="1"/>
              </w:numPr>
              <w:rPr>
                <w:rFonts w:asciiTheme="minorHAnsi" w:hAnsiTheme="minorHAnsi" w:cstheme="minorHAnsi"/>
              </w:rPr>
            </w:pPr>
            <w:r w:rsidRPr="00B14C35">
              <w:rPr>
                <w:rFonts w:asciiTheme="minorHAnsi" w:hAnsiTheme="minorHAnsi" w:cstheme="minorHAnsi"/>
              </w:rPr>
              <w:t>Keep a record of patients who ask to be excluded from the study in response to the study information on the poster/website/prescription slips.</w:t>
            </w:r>
          </w:p>
          <w:p w14:paraId="721A28CF" w14:textId="79900B67" w:rsidR="00574454" w:rsidRPr="00B14C35" w:rsidRDefault="00B14C35" w:rsidP="00B14C35">
            <w:pPr>
              <w:numPr>
                <w:ilvl w:val="0"/>
                <w:numId w:val="1"/>
              </w:numPr>
              <w:tabs>
                <w:tab w:val="clear" w:pos="360"/>
              </w:tabs>
              <w:rPr>
                <w:rFonts w:asciiTheme="minorHAnsi" w:hAnsiTheme="minorHAnsi" w:cstheme="minorHAnsi"/>
              </w:rPr>
            </w:pPr>
            <w:r w:rsidRPr="00B14C35">
              <w:rPr>
                <w:rFonts w:asciiTheme="minorHAnsi" w:hAnsiTheme="minorHAnsi" w:cstheme="minorHAnsi"/>
              </w:rPr>
              <w:t>Add a code to the clinical record for patients who ask to be excluded.</w:t>
            </w:r>
            <w:r>
              <w:rPr>
                <w:rFonts w:asciiTheme="minorHAnsi" w:hAnsiTheme="minorHAnsi" w:cstheme="minorHAnsi"/>
              </w:rPr>
              <w:t xml:space="preserve">  </w:t>
            </w:r>
            <w:r w:rsidR="00574454" w:rsidRPr="00B14C35">
              <w:rPr>
                <w:rFonts w:asciiTheme="minorHAnsi" w:hAnsiTheme="minorHAnsi" w:cstheme="minorHAnsi"/>
              </w:rPr>
              <w:t>(Those who are part of the national data opt-out will automatically be excluded).</w:t>
            </w:r>
          </w:p>
          <w:p w14:paraId="709C93C5" w14:textId="5242ED21" w:rsidR="00574454" w:rsidRPr="00522F8A" w:rsidRDefault="00574454" w:rsidP="00574454">
            <w:pPr>
              <w:spacing w:line="259" w:lineRule="auto"/>
              <w:rPr>
                <w:rFonts w:asciiTheme="minorHAnsi" w:hAnsiTheme="minorHAnsi" w:cstheme="minorHAnsi"/>
              </w:rPr>
            </w:pPr>
          </w:p>
          <w:p w14:paraId="41DDCF19" w14:textId="2908F42C" w:rsidR="00574454" w:rsidRPr="00522F8A" w:rsidRDefault="00574454" w:rsidP="00574454">
            <w:pPr>
              <w:spacing w:line="259" w:lineRule="auto"/>
              <w:rPr>
                <w:rFonts w:asciiTheme="minorHAnsi" w:hAnsiTheme="minorHAnsi" w:cstheme="minorHAnsi"/>
              </w:rPr>
            </w:pPr>
            <w:r w:rsidRPr="00522F8A">
              <w:rPr>
                <w:rFonts w:asciiTheme="minorHAnsi" w:hAnsiTheme="minorHAnsi" w:cstheme="minorHAnsi"/>
              </w:rPr>
              <w:t>*Patient data will be extracted from the clinical system by NHS North of England Care System Support (NECS).</w:t>
            </w:r>
            <w:r w:rsidR="00CF4281">
              <w:rPr>
                <w:rFonts w:asciiTheme="minorHAnsi" w:hAnsiTheme="minorHAnsi" w:cstheme="minorHAnsi"/>
              </w:rPr>
              <w:t xml:space="preserve"> </w:t>
            </w:r>
            <w:r w:rsidR="00CF4281" w:rsidRPr="00CF4281">
              <w:rPr>
                <w:rFonts w:asciiTheme="minorHAnsi" w:hAnsiTheme="minorHAnsi" w:cstheme="minorHAnsi"/>
              </w:rPr>
              <w:t>The data will be linked to NHSE Hospital Episode Statistics database</w:t>
            </w:r>
            <w:r w:rsidR="00CF4281">
              <w:rPr>
                <w:rFonts w:asciiTheme="minorHAnsi" w:hAnsiTheme="minorHAnsi" w:cstheme="minorHAnsi"/>
              </w:rPr>
              <w:t xml:space="preserve"> and then </w:t>
            </w:r>
            <w:r w:rsidRPr="00522F8A">
              <w:rPr>
                <w:rFonts w:asciiTheme="minorHAnsi" w:hAnsiTheme="minorHAnsi" w:cstheme="minorHAnsi"/>
              </w:rPr>
              <w:t xml:space="preserve">pseudonymised (identifiers used for linkage removed) and uploaded to NECS Digital Secure Environment which will be accessed by two statisticians from the research team.  Appropriate approvals will be in place from the </w:t>
            </w:r>
            <w:hyperlink r:id="rId5" w:history="1">
              <w:r w:rsidRPr="00522F8A">
                <w:rPr>
                  <w:rStyle w:val="Hyperlink"/>
                  <w:rFonts w:asciiTheme="minorHAnsi" w:hAnsiTheme="minorHAnsi" w:cstheme="minorHAnsi"/>
                </w:rPr>
                <w:t>Health Research Authority (HRA) Confidentiality Advisory Group (CAG)</w:t>
              </w:r>
            </w:hyperlink>
            <w:r w:rsidRPr="00522F8A">
              <w:rPr>
                <w:rFonts w:asciiTheme="minorHAnsi" w:hAnsiTheme="minorHAnsi" w:cstheme="minorHAnsi"/>
              </w:rPr>
              <w:t xml:space="preserve"> and the </w:t>
            </w:r>
            <w:hyperlink r:id="rId6" w:history="1">
              <w:r w:rsidRPr="00522F8A">
                <w:rPr>
                  <w:rStyle w:val="Hyperlink"/>
                  <w:rFonts w:asciiTheme="minorHAnsi" w:hAnsiTheme="minorHAnsi" w:cstheme="minorHAnsi"/>
                </w:rPr>
                <w:t>Research Ethics Committee (REC)</w:t>
              </w:r>
            </w:hyperlink>
            <w:r w:rsidRPr="00522F8A">
              <w:rPr>
                <w:rFonts w:asciiTheme="minorHAnsi" w:hAnsiTheme="minorHAnsi" w:cstheme="minorHAnsi"/>
              </w:rPr>
              <w:t> to allow this.</w:t>
            </w:r>
          </w:p>
          <w:p w14:paraId="755EC686" w14:textId="306733BA" w:rsidR="00574454" w:rsidRDefault="00574454" w:rsidP="00574454">
            <w:pPr>
              <w:spacing w:line="259" w:lineRule="auto"/>
              <w:rPr>
                <w:rFonts w:asciiTheme="minorHAnsi" w:hAnsiTheme="minorHAnsi" w:cstheme="minorHAnsi"/>
              </w:rPr>
            </w:pPr>
          </w:p>
          <w:p w14:paraId="2E7F1A5F" w14:textId="77D57A24" w:rsidR="00574454" w:rsidRDefault="005E67FE" w:rsidP="005E67FE">
            <w:pPr>
              <w:spacing w:line="259" w:lineRule="auto"/>
              <w:rPr>
                <w:rFonts w:asciiTheme="minorHAnsi" w:hAnsiTheme="minorHAnsi" w:cstheme="minorHAnsi"/>
              </w:rPr>
            </w:pPr>
            <w:r>
              <w:rPr>
                <w:rFonts w:asciiTheme="minorHAnsi" w:hAnsiTheme="minorHAnsi" w:cstheme="minorHAnsi"/>
              </w:rPr>
              <w:lastRenderedPageBreak/>
              <w:t>T</w:t>
            </w:r>
            <w:r w:rsidRPr="005E67FE">
              <w:rPr>
                <w:rFonts w:asciiTheme="minorHAnsi" w:hAnsiTheme="minorHAnsi" w:cstheme="minorHAnsi"/>
              </w:rPr>
              <w:t>he Bradford District and Craven Health and Care Partnership’s GP Practices Data Protection Officer and the Senior Primary Care IT Business Manager are aware of and support the study</w:t>
            </w:r>
            <w:r>
              <w:rPr>
                <w:rFonts w:asciiTheme="minorHAnsi" w:hAnsiTheme="minorHAnsi" w:cstheme="minorHAnsi"/>
              </w:rPr>
              <w:t>.</w:t>
            </w:r>
          </w:p>
          <w:p w14:paraId="5CCD763E" w14:textId="71F3E756" w:rsidR="005E67FE" w:rsidRPr="00CF4281" w:rsidRDefault="005E67FE" w:rsidP="005E67FE">
            <w:pPr>
              <w:spacing w:line="259" w:lineRule="auto"/>
              <w:rPr>
                <w:rFonts w:asciiTheme="minorHAnsi" w:hAnsiTheme="minorHAnsi" w:cstheme="minorHAnsi"/>
              </w:rPr>
            </w:pPr>
          </w:p>
        </w:tc>
      </w:tr>
      <w:tr w:rsidR="00574454" w:rsidRPr="00CF4281" w14:paraId="6107BAC0"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2AB5E6E" w14:textId="77777777" w:rsidR="00574454" w:rsidRPr="00CF4281" w:rsidRDefault="00574454" w:rsidP="00574454">
            <w:pPr>
              <w:rPr>
                <w:rFonts w:asciiTheme="minorHAnsi" w:hAnsiTheme="minorHAnsi" w:cstheme="minorHAnsi"/>
              </w:rPr>
            </w:pPr>
            <w:r w:rsidRPr="00CF4281">
              <w:rPr>
                <w:rFonts w:asciiTheme="minorHAnsi" w:hAnsiTheme="minorHAnsi" w:cstheme="minorHAnsi"/>
              </w:rPr>
              <w:lastRenderedPageBreak/>
              <w:t>Payments/support costs:</w:t>
            </w:r>
          </w:p>
        </w:tc>
        <w:tc>
          <w:tcPr>
            <w:tcW w:w="6460" w:type="dxa"/>
            <w:tcBorders>
              <w:top w:val="single" w:sz="4" w:space="0" w:color="auto"/>
              <w:left w:val="single" w:sz="4" w:space="0" w:color="auto"/>
              <w:bottom w:val="single" w:sz="4" w:space="0" w:color="auto"/>
              <w:right w:val="single" w:sz="4" w:space="0" w:color="auto"/>
            </w:tcBorders>
            <w:hideMark/>
          </w:tcPr>
          <w:p w14:paraId="13528D69" w14:textId="0D67131A" w:rsidR="00574454" w:rsidRPr="00CF4281" w:rsidRDefault="00574454" w:rsidP="00CF4281">
            <w:pPr>
              <w:spacing w:line="259" w:lineRule="auto"/>
              <w:rPr>
                <w:rFonts w:asciiTheme="minorHAnsi" w:hAnsiTheme="minorHAnsi" w:cstheme="minorHAnsi"/>
              </w:rPr>
            </w:pPr>
            <w:r w:rsidRPr="00522F8A">
              <w:rPr>
                <w:rFonts w:asciiTheme="minorHAnsi" w:hAnsiTheme="minorHAnsi" w:cstheme="minorHAnsi"/>
              </w:rPr>
              <w:t xml:space="preserve">Practices will receive a one-off research cost payment of </w:t>
            </w:r>
            <w:r w:rsidRPr="00522F8A">
              <w:rPr>
                <w:rFonts w:asciiTheme="minorHAnsi" w:hAnsiTheme="minorHAnsi" w:cstheme="minorHAnsi"/>
                <w:b/>
                <w:bCs/>
              </w:rPr>
              <w:t>£</w:t>
            </w:r>
            <w:r w:rsidR="00CF4281" w:rsidRPr="00CF4281">
              <w:rPr>
                <w:rFonts w:asciiTheme="minorHAnsi" w:hAnsiTheme="minorHAnsi" w:cstheme="minorHAnsi"/>
                <w:b/>
                <w:bCs/>
              </w:rPr>
              <w:t>100</w:t>
            </w:r>
            <w:r w:rsidRPr="00522F8A">
              <w:rPr>
                <w:rFonts w:asciiTheme="minorHAnsi" w:hAnsiTheme="minorHAnsi" w:cstheme="minorHAnsi"/>
                <w:b/>
                <w:bCs/>
              </w:rPr>
              <w:t xml:space="preserve"> </w:t>
            </w:r>
            <w:r w:rsidRPr="00522F8A">
              <w:rPr>
                <w:rFonts w:asciiTheme="minorHAnsi" w:hAnsiTheme="minorHAnsi" w:cstheme="minorHAnsi"/>
              </w:rPr>
              <w:t>for taking part</w:t>
            </w:r>
            <w:r w:rsidR="00CF4281">
              <w:rPr>
                <w:rFonts w:asciiTheme="minorHAnsi" w:hAnsiTheme="minorHAnsi" w:cstheme="minorHAnsi"/>
              </w:rPr>
              <w:t xml:space="preserve"> and a one-off service support cost of </w:t>
            </w:r>
            <w:r w:rsidRPr="00522F8A">
              <w:rPr>
                <w:rFonts w:asciiTheme="minorHAnsi" w:hAnsiTheme="minorHAnsi" w:cstheme="minorHAnsi"/>
                <w:b/>
                <w:bCs/>
              </w:rPr>
              <w:t xml:space="preserve">£18.00 </w:t>
            </w:r>
            <w:r w:rsidRPr="00522F8A">
              <w:rPr>
                <w:rFonts w:asciiTheme="minorHAnsi" w:hAnsiTheme="minorHAnsi" w:cstheme="minorHAnsi"/>
              </w:rPr>
              <w:t xml:space="preserve">for </w:t>
            </w:r>
            <w:r w:rsidR="00CF4281">
              <w:rPr>
                <w:rFonts w:asciiTheme="minorHAnsi" w:hAnsiTheme="minorHAnsi" w:cstheme="minorHAnsi"/>
              </w:rPr>
              <w:t>i</w:t>
            </w:r>
            <w:r w:rsidRPr="00522F8A">
              <w:rPr>
                <w:rFonts w:asciiTheme="minorHAnsi" w:hAnsiTheme="minorHAnsi" w:cstheme="minorHAnsi"/>
              </w:rPr>
              <w:t>nformed consent from practice manager</w:t>
            </w:r>
            <w:r w:rsidR="00CF4281">
              <w:rPr>
                <w:rFonts w:asciiTheme="minorHAnsi" w:hAnsiTheme="minorHAnsi" w:cstheme="minorHAnsi"/>
              </w:rPr>
              <w:t>.</w:t>
            </w:r>
          </w:p>
        </w:tc>
      </w:tr>
      <w:tr w:rsidR="00574454" w:rsidRPr="00CF4281" w14:paraId="6EE19E7F"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D89444" w14:textId="77777777" w:rsidR="00574454" w:rsidRPr="00CF4281" w:rsidRDefault="00574454" w:rsidP="00574454">
            <w:pPr>
              <w:rPr>
                <w:rFonts w:asciiTheme="minorHAnsi" w:hAnsiTheme="minorHAnsi" w:cstheme="minorHAnsi"/>
              </w:rPr>
            </w:pPr>
            <w:r w:rsidRPr="00CF4281">
              <w:rPr>
                <w:rFonts w:asciiTheme="minorHAnsi" w:hAnsiTheme="minorHAnsi" w:cstheme="minorHAnsi"/>
              </w:rPr>
              <w:t>Benefits to patients and/or practice:</w:t>
            </w:r>
          </w:p>
        </w:tc>
        <w:tc>
          <w:tcPr>
            <w:tcW w:w="6460" w:type="dxa"/>
            <w:tcBorders>
              <w:top w:val="single" w:sz="4" w:space="0" w:color="auto"/>
              <w:left w:val="single" w:sz="4" w:space="0" w:color="auto"/>
              <w:bottom w:val="single" w:sz="4" w:space="0" w:color="auto"/>
              <w:right w:val="single" w:sz="4" w:space="0" w:color="auto"/>
            </w:tcBorders>
            <w:hideMark/>
          </w:tcPr>
          <w:p w14:paraId="3EBCDFC7" w14:textId="0124A70E" w:rsidR="00574454" w:rsidRPr="00CF4281" w:rsidRDefault="00574454" w:rsidP="00574454">
            <w:pPr>
              <w:rPr>
                <w:rFonts w:asciiTheme="minorHAnsi" w:hAnsiTheme="minorHAnsi" w:cstheme="minorHAnsi"/>
                <w:highlight w:val="yellow"/>
              </w:rPr>
            </w:pPr>
            <w:r w:rsidRPr="00522F8A">
              <w:rPr>
                <w:rFonts w:asciiTheme="minorHAnsi" w:hAnsiTheme="minorHAnsi" w:cstheme="minorHAnsi"/>
              </w:rPr>
              <w:t>Taking part in this project may be of educational benefit and an opportunity to reflect on clinical practice.</w:t>
            </w:r>
            <w:r w:rsidR="00CF4281">
              <w:rPr>
                <w:rFonts w:asciiTheme="minorHAnsi" w:hAnsiTheme="minorHAnsi" w:cstheme="minorHAnsi"/>
              </w:rPr>
              <w:t xml:space="preserve"> </w:t>
            </w:r>
            <w:r w:rsidRPr="00522F8A">
              <w:rPr>
                <w:rFonts w:asciiTheme="minorHAnsi" w:hAnsiTheme="minorHAnsi" w:cstheme="minorHAnsi"/>
              </w:rPr>
              <w:t xml:space="preserve"> Findings from the study will be fed back to your practice if </w:t>
            </w:r>
            <w:r w:rsidR="00CF4281">
              <w:rPr>
                <w:rFonts w:asciiTheme="minorHAnsi" w:hAnsiTheme="minorHAnsi" w:cstheme="minorHAnsi"/>
              </w:rPr>
              <w:t>requested</w:t>
            </w:r>
            <w:r w:rsidRPr="00522F8A">
              <w:rPr>
                <w:rFonts w:asciiTheme="minorHAnsi" w:hAnsiTheme="minorHAnsi" w:cstheme="minorHAnsi"/>
              </w:rPr>
              <w:t xml:space="preserve">. </w:t>
            </w:r>
            <w:r w:rsidR="00CF4281">
              <w:rPr>
                <w:rFonts w:asciiTheme="minorHAnsi" w:hAnsiTheme="minorHAnsi" w:cstheme="minorHAnsi"/>
              </w:rPr>
              <w:t xml:space="preserve"> </w:t>
            </w:r>
            <w:r w:rsidRPr="00522F8A">
              <w:rPr>
                <w:rFonts w:asciiTheme="minorHAnsi" w:hAnsiTheme="minorHAnsi" w:cstheme="minorHAnsi"/>
              </w:rPr>
              <w:t>It may provide evidence for your NHS Appraisal, revalidation, continuing professional development or Care Quality Commission review.</w:t>
            </w:r>
          </w:p>
        </w:tc>
      </w:tr>
      <w:tr w:rsidR="009B7933" w:rsidRPr="00CF4281" w14:paraId="6640AA3F"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8A59BB" w14:textId="77777777" w:rsidR="009B7933" w:rsidRPr="00CF4281" w:rsidRDefault="009B7933" w:rsidP="00E50967">
            <w:pPr>
              <w:rPr>
                <w:rFonts w:asciiTheme="minorHAnsi" w:hAnsiTheme="minorHAnsi" w:cstheme="minorHAnsi"/>
              </w:rPr>
            </w:pPr>
            <w:r w:rsidRPr="00CF4281">
              <w:rPr>
                <w:rFonts w:asciiTheme="minorHAnsi" w:hAnsiTheme="minorHAnsi" w:cstheme="minorHAnsi"/>
              </w:rPr>
              <w:t>Commercial/Non-commercial study?</w:t>
            </w:r>
          </w:p>
        </w:tc>
        <w:tc>
          <w:tcPr>
            <w:tcW w:w="6460" w:type="dxa"/>
            <w:tcBorders>
              <w:top w:val="single" w:sz="4" w:space="0" w:color="auto"/>
              <w:left w:val="single" w:sz="4" w:space="0" w:color="auto"/>
              <w:bottom w:val="single" w:sz="4" w:space="0" w:color="auto"/>
              <w:right w:val="single" w:sz="4" w:space="0" w:color="auto"/>
            </w:tcBorders>
            <w:hideMark/>
          </w:tcPr>
          <w:p w14:paraId="36A154D8" w14:textId="0C0D02BD" w:rsidR="009B7933" w:rsidRPr="00CF4281" w:rsidRDefault="00574454" w:rsidP="00E50967">
            <w:pPr>
              <w:rPr>
                <w:rFonts w:asciiTheme="minorHAnsi" w:hAnsiTheme="minorHAnsi" w:cstheme="minorHAnsi"/>
              </w:rPr>
            </w:pPr>
            <w:r w:rsidRPr="00CF4281">
              <w:rPr>
                <w:rFonts w:asciiTheme="minorHAnsi" w:hAnsiTheme="minorHAnsi" w:cstheme="minorHAnsi"/>
              </w:rPr>
              <w:t>Non-commercial</w:t>
            </w:r>
          </w:p>
        </w:tc>
      </w:tr>
      <w:tr w:rsidR="009B7933" w:rsidRPr="00CF4281" w14:paraId="02E71445"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9D0338A" w14:textId="77777777" w:rsidR="009B7933" w:rsidRPr="00CF4281" w:rsidRDefault="009B7933" w:rsidP="00E50967">
            <w:pPr>
              <w:rPr>
                <w:rFonts w:asciiTheme="minorHAnsi" w:hAnsiTheme="minorHAnsi" w:cstheme="minorHAnsi"/>
              </w:rPr>
            </w:pPr>
            <w:r w:rsidRPr="00CF4281">
              <w:rPr>
                <w:rFonts w:asciiTheme="minorHAnsi" w:hAnsiTheme="minorHAnsi" w:cstheme="minorHAnsi"/>
              </w:rPr>
              <w:t>Please contact:</w:t>
            </w:r>
          </w:p>
        </w:tc>
        <w:tc>
          <w:tcPr>
            <w:tcW w:w="6460" w:type="dxa"/>
            <w:tcBorders>
              <w:top w:val="single" w:sz="4" w:space="0" w:color="auto"/>
              <w:left w:val="single" w:sz="4" w:space="0" w:color="auto"/>
              <w:bottom w:val="single" w:sz="4" w:space="0" w:color="auto"/>
              <w:right w:val="single" w:sz="4" w:space="0" w:color="auto"/>
            </w:tcBorders>
          </w:tcPr>
          <w:p w14:paraId="016F9301" w14:textId="77777777" w:rsidR="009B7933" w:rsidRDefault="00574454" w:rsidP="00CF4281">
            <w:pPr>
              <w:spacing w:line="259" w:lineRule="auto"/>
              <w:rPr>
                <w:rFonts w:asciiTheme="minorHAnsi" w:hAnsiTheme="minorHAnsi" w:cstheme="minorHAnsi"/>
              </w:rPr>
            </w:pPr>
            <w:r w:rsidRPr="00522F8A">
              <w:rPr>
                <w:rFonts w:asciiTheme="minorHAnsi" w:hAnsiTheme="minorHAnsi" w:cstheme="minorHAnsi"/>
              </w:rPr>
              <w:t xml:space="preserve">Bethan Copsey: </w:t>
            </w:r>
            <w:hyperlink r:id="rId7" w:history="1">
              <w:r w:rsidRPr="00522F8A">
                <w:rPr>
                  <w:rStyle w:val="Hyperlink"/>
                  <w:rFonts w:asciiTheme="minorHAnsi" w:hAnsiTheme="minorHAnsi" w:cstheme="minorHAnsi"/>
                </w:rPr>
                <w:t>B.Copsey@leeds.ac.uk</w:t>
              </w:r>
            </w:hyperlink>
          </w:p>
          <w:p w14:paraId="36D42047" w14:textId="76296820" w:rsidR="00CF4281" w:rsidRPr="00CF4281" w:rsidRDefault="00CF4281" w:rsidP="00CF4281">
            <w:pPr>
              <w:spacing w:line="259" w:lineRule="auto"/>
              <w:rPr>
                <w:rFonts w:asciiTheme="minorHAnsi" w:hAnsiTheme="minorHAnsi" w:cstheme="minorHAnsi"/>
              </w:rPr>
            </w:pPr>
          </w:p>
        </w:tc>
      </w:tr>
      <w:tr w:rsidR="009B7933" w:rsidRPr="00CF4281" w14:paraId="5C1A4D7F" w14:textId="77777777" w:rsidTr="002C751F">
        <w:tc>
          <w:tcPr>
            <w:tcW w:w="255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0151B0" w14:textId="77777777" w:rsidR="009B7933" w:rsidRPr="00CF4281" w:rsidRDefault="009B7933" w:rsidP="00E50967">
            <w:pPr>
              <w:rPr>
                <w:rFonts w:asciiTheme="minorHAnsi" w:hAnsiTheme="minorHAnsi" w:cstheme="minorHAnsi"/>
              </w:rPr>
            </w:pPr>
            <w:r w:rsidRPr="00CF4281">
              <w:rPr>
                <w:rFonts w:asciiTheme="minorHAnsi" w:hAnsiTheme="minorHAnsi" w:cstheme="minorHAnsi"/>
              </w:rPr>
              <w:t>Deadline for response:</w:t>
            </w:r>
          </w:p>
        </w:tc>
        <w:tc>
          <w:tcPr>
            <w:tcW w:w="6460" w:type="dxa"/>
            <w:tcBorders>
              <w:top w:val="single" w:sz="4" w:space="0" w:color="auto"/>
              <w:left w:val="single" w:sz="4" w:space="0" w:color="auto"/>
              <w:bottom w:val="single" w:sz="4" w:space="0" w:color="auto"/>
              <w:right w:val="single" w:sz="4" w:space="0" w:color="auto"/>
            </w:tcBorders>
          </w:tcPr>
          <w:p w14:paraId="2619B7AE" w14:textId="77777777" w:rsidR="00574454" w:rsidRPr="00522F8A" w:rsidRDefault="00574454" w:rsidP="00574454">
            <w:pPr>
              <w:spacing w:line="259" w:lineRule="auto"/>
              <w:rPr>
                <w:rFonts w:asciiTheme="minorHAnsi" w:hAnsiTheme="minorHAnsi" w:cstheme="minorHAnsi"/>
              </w:rPr>
            </w:pPr>
            <w:r w:rsidRPr="00522F8A">
              <w:rPr>
                <w:rFonts w:asciiTheme="minorHAnsi" w:hAnsiTheme="minorHAnsi" w:cstheme="minorHAnsi"/>
              </w:rPr>
              <w:t>30 May 2025</w:t>
            </w:r>
          </w:p>
          <w:p w14:paraId="2BA7B6BD" w14:textId="26D3CAD9" w:rsidR="009B7933" w:rsidRPr="00CF4281" w:rsidRDefault="009B7933" w:rsidP="00574454">
            <w:pPr>
              <w:rPr>
                <w:rFonts w:asciiTheme="minorHAnsi" w:hAnsiTheme="minorHAnsi" w:cstheme="minorHAnsi"/>
                <w:highlight w:val="yellow"/>
              </w:rPr>
            </w:pPr>
          </w:p>
        </w:tc>
      </w:tr>
    </w:tbl>
    <w:p w14:paraId="346F4797" w14:textId="77777777" w:rsidR="00481904" w:rsidRPr="00CF4281" w:rsidRDefault="00481904">
      <w:pPr>
        <w:rPr>
          <w:rFonts w:asciiTheme="minorHAnsi" w:hAnsiTheme="minorHAnsi" w:cstheme="minorHAnsi"/>
        </w:rPr>
      </w:pPr>
    </w:p>
    <w:sectPr w:rsidR="00481904" w:rsidRPr="00CF4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01F"/>
    <w:multiLevelType w:val="multilevel"/>
    <w:tmpl w:val="92846B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501F0DA7"/>
    <w:multiLevelType w:val="multilevel"/>
    <w:tmpl w:val="0574B6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E1E2741"/>
    <w:multiLevelType w:val="multilevel"/>
    <w:tmpl w:val="344230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267351260">
    <w:abstractNumId w:val="1"/>
  </w:num>
  <w:num w:numId="2" w16cid:durableId="668603299">
    <w:abstractNumId w:val="2"/>
  </w:num>
  <w:num w:numId="3" w16cid:durableId="5389787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9"/>
    <w:rsid w:val="000D4621"/>
    <w:rsid w:val="000F03A2"/>
    <w:rsid w:val="001903A9"/>
    <w:rsid w:val="002C751F"/>
    <w:rsid w:val="00481904"/>
    <w:rsid w:val="004B5A6B"/>
    <w:rsid w:val="00574454"/>
    <w:rsid w:val="005E67FE"/>
    <w:rsid w:val="00725D56"/>
    <w:rsid w:val="009B7933"/>
    <w:rsid w:val="009D35D1"/>
    <w:rsid w:val="009D5C3D"/>
    <w:rsid w:val="00A849E0"/>
    <w:rsid w:val="00B14C35"/>
    <w:rsid w:val="00CF4281"/>
    <w:rsid w:val="00E9364B"/>
    <w:rsid w:val="00F853D4"/>
    <w:rsid w:val="00FA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8CBB"/>
  <w15:chartTrackingRefBased/>
  <w15:docId w15:val="{6E1D0E78-170E-4CC8-92AC-68F68BC4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33"/>
    <w:pPr>
      <w:spacing w:after="0" w:line="240" w:lineRule="auto"/>
    </w:pPr>
    <w:rPr>
      <w:rFonts w:ascii="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9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424">
      <w:bodyDiv w:val="1"/>
      <w:marLeft w:val="0"/>
      <w:marRight w:val="0"/>
      <w:marTop w:val="0"/>
      <w:marBottom w:val="0"/>
      <w:divBdr>
        <w:top w:val="none" w:sz="0" w:space="0" w:color="auto"/>
        <w:left w:val="none" w:sz="0" w:space="0" w:color="auto"/>
        <w:bottom w:val="none" w:sz="0" w:space="0" w:color="auto"/>
        <w:right w:val="none" w:sz="0" w:space="0" w:color="auto"/>
      </w:divBdr>
    </w:div>
    <w:div w:id="1211575431">
      <w:bodyDiv w:val="1"/>
      <w:marLeft w:val="0"/>
      <w:marRight w:val="0"/>
      <w:marTop w:val="0"/>
      <w:marBottom w:val="0"/>
      <w:divBdr>
        <w:top w:val="none" w:sz="0" w:space="0" w:color="auto"/>
        <w:left w:val="none" w:sz="0" w:space="0" w:color="auto"/>
        <w:bottom w:val="none" w:sz="0" w:space="0" w:color="auto"/>
        <w:right w:val="none" w:sz="0" w:space="0" w:color="auto"/>
      </w:divBdr>
    </w:div>
    <w:div w:id="1290282478">
      <w:bodyDiv w:val="1"/>
      <w:marLeft w:val="0"/>
      <w:marRight w:val="0"/>
      <w:marTop w:val="0"/>
      <w:marBottom w:val="0"/>
      <w:divBdr>
        <w:top w:val="none" w:sz="0" w:space="0" w:color="auto"/>
        <w:left w:val="none" w:sz="0" w:space="0" w:color="auto"/>
        <w:bottom w:val="none" w:sz="0" w:space="0" w:color="auto"/>
        <w:right w:val="none" w:sz="0" w:space="0" w:color="auto"/>
      </w:divBdr>
    </w:div>
    <w:div w:id="16576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opsey@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a.nhs.uk/about-us/committees-and-services/res-and-recs/" TargetMode="External"/><Relationship Id="rId5" Type="http://schemas.openxmlformats.org/officeDocument/2006/relationships/hyperlink" Target="https://www.hra.nhs.uk/about-us/committees-and-services/confidentiality-advisory-gro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Damian</dc:creator>
  <cp:keywords/>
  <dc:description/>
  <cp:lastModifiedBy>Reynolds Damian</cp:lastModifiedBy>
  <cp:revision>12</cp:revision>
  <dcterms:created xsi:type="dcterms:W3CDTF">2024-12-05T12:04:00Z</dcterms:created>
  <dcterms:modified xsi:type="dcterms:W3CDTF">2025-04-24T15:15:00Z</dcterms:modified>
</cp:coreProperties>
</file>